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EB32" w14:textId="540BD857" w:rsidR="00B809AD" w:rsidRDefault="006D321D">
      <w:r>
        <w:t>FONFO TECNOLOGICO – ACTUACIONES SIBVENCIONABLES</w:t>
      </w:r>
    </w:p>
    <w:p w14:paraId="0DF4B41F" w14:textId="77777777" w:rsidR="006D321D" w:rsidRDefault="006D321D" w:rsidP="006D321D">
      <w:pPr>
        <w:pStyle w:val="dog-base-sangria"/>
        <w:shd w:val="clear" w:color="auto" w:fill="F7F7F7"/>
        <w:spacing w:before="0" w:beforeAutospacing="0" w:after="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Artículo 4. </w:t>
      </w:r>
      <w:r>
        <w:rPr>
          <w:rStyle w:val="dog-cursiva"/>
          <w:rFonts w:ascii="inherit" w:hAnsi="inherit"/>
          <w:i/>
          <w:iCs/>
          <w:color w:val="000000"/>
          <w:sz w:val="23"/>
          <w:szCs w:val="23"/>
          <w:bdr w:val="none" w:sz="0" w:space="0" w:color="auto" w:frame="1"/>
        </w:rPr>
        <w:t>Actuaciones subvencionables</w:t>
      </w:r>
    </w:p>
    <w:p w14:paraId="7FAED203"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1. Se considerarán actuaciones subvencionables la implantación y puesta en marcha de:</w:t>
      </w:r>
    </w:p>
    <w:p w14:paraId="70BBCB9A"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1.1. Línea de ayudas destinada a personas autónomas y pequeñas y medianas empresas comerciales.</w:t>
      </w:r>
    </w:p>
    <w:p w14:paraId="6F7EBF5D" w14:textId="77777777" w:rsidR="006D321D" w:rsidRDefault="006D321D" w:rsidP="006D321D">
      <w:pPr>
        <w:pStyle w:val="dog-base-sangria"/>
        <w:shd w:val="clear" w:color="auto" w:fill="F7F7F7"/>
        <w:spacing w:before="0" w:beforeAutospacing="0" w:after="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1.1.1. Programa </w:t>
      </w:r>
      <w:proofErr w:type="spellStart"/>
      <w:r>
        <w:rPr>
          <w:rStyle w:val="dog-cursiva"/>
          <w:rFonts w:ascii="inherit" w:hAnsi="inherit"/>
          <w:i/>
          <w:iCs/>
          <w:color w:val="000000"/>
          <w:sz w:val="23"/>
          <w:szCs w:val="23"/>
          <w:bdr w:val="none" w:sz="0" w:space="0" w:color="auto" w:frame="1"/>
        </w:rPr>
        <w:t>smart</w:t>
      </w:r>
      <w:proofErr w:type="spellEnd"/>
      <w:r>
        <w:rPr>
          <w:rStyle w:val="dog-cursiva"/>
          <w:rFonts w:ascii="inherit" w:hAnsi="inherit"/>
          <w:i/>
          <w:iCs/>
          <w:color w:val="000000"/>
          <w:sz w:val="23"/>
          <w:szCs w:val="23"/>
          <w:bdr w:val="none" w:sz="0" w:space="0" w:color="auto" w:frame="1"/>
        </w:rPr>
        <w:t xml:space="preserve"> </w:t>
      </w:r>
      <w:proofErr w:type="spellStart"/>
      <w:r>
        <w:rPr>
          <w:rStyle w:val="dog-cursiva"/>
          <w:rFonts w:ascii="inherit" w:hAnsi="inherit"/>
          <w:i/>
          <w:iCs/>
          <w:color w:val="000000"/>
          <w:sz w:val="23"/>
          <w:szCs w:val="23"/>
          <w:bdr w:val="none" w:sz="0" w:space="0" w:color="auto" w:frame="1"/>
        </w:rPr>
        <w:t>retail</w:t>
      </w:r>
      <w:proofErr w:type="spellEnd"/>
      <w:r>
        <w:rPr>
          <w:rFonts w:ascii="Source Sans Pro" w:hAnsi="Source Sans Pro"/>
          <w:color w:val="000000"/>
          <w:sz w:val="23"/>
          <w:szCs w:val="23"/>
        </w:rPr>
        <w:t> dirigido a la transformación digital del punto de venta y modelo de negocio, a través de las siguientes actuaciones:</w:t>
      </w:r>
    </w:p>
    <w:p w14:paraId="6C804CB1" w14:textId="77777777" w:rsidR="006D321D" w:rsidRDefault="006D321D" w:rsidP="006D321D">
      <w:pPr>
        <w:pStyle w:val="dog-base-sangria"/>
        <w:shd w:val="clear" w:color="auto" w:fill="F7F7F7"/>
        <w:spacing w:before="0" w:beforeAutospacing="0" w:after="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a) Software de gestión de experiencia de la clientela (aplicaciones </w:t>
      </w:r>
      <w:proofErr w:type="spellStart"/>
      <w:r>
        <w:rPr>
          <w:rStyle w:val="dog-cursiva"/>
          <w:rFonts w:ascii="inherit" w:hAnsi="inherit"/>
          <w:i/>
          <w:iCs/>
          <w:color w:val="000000"/>
          <w:sz w:val="23"/>
          <w:szCs w:val="23"/>
          <w:bdr w:val="none" w:sz="0" w:space="0" w:color="auto" w:frame="1"/>
        </w:rPr>
        <w:t>big</w:t>
      </w:r>
      <w:proofErr w:type="spellEnd"/>
      <w:r>
        <w:rPr>
          <w:rStyle w:val="dog-cursiva"/>
          <w:rFonts w:ascii="inherit" w:hAnsi="inherit"/>
          <w:i/>
          <w:iCs/>
          <w:color w:val="000000"/>
          <w:sz w:val="23"/>
          <w:szCs w:val="23"/>
          <w:bdr w:val="none" w:sz="0" w:space="0" w:color="auto" w:frame="1"/>
        </w:rPr>
        <w:t xml:space="preserve"> data</w:t>
      </w:r>
      <w:r>
        <w:rPr>
          <w:rFonts w:ascii="Source Sans Pro" w:hAnsi="Source Sans Pro"/>
          <w:color w:val="000000"/>
          <w:sz w:val="23"/>
          <w:szCs w:val="23"/>
        </w:rPr>
        <w:t> y análisis de datos).</w:t>
      </w:r>
    </w:p>
    <w:p w14:paraId="110B1086"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b) Etiquetado electrónico para lineales de venta.</w:t>
      </w:r>
    </w:p>
    <w:p w14:paraId="70859FA5"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c) Tecnología de control de stocks y tecnología RFID.</w:t>
      </w:r>
    </w:p>
    <w:p w14:paraId="514A7B45"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d) Gestor de colas automatizado.</w:t>
      </w:r>
    </w:p>
    <w:p w14:paraId="3167E97F" w14:textId="77777777" w:rsidR="006D321D" w:rsidRDefault="006D321D" w:rsidP="006D321D">
      <w:pPr>
        <w:pStyle w:val="dog-base-sangria"/>
        <w:shd w:val="clear" w:color="auto" w:fill="F7F7F7"/>
        <w:spacing w:before="0" w:beforeAutospacing="0" w:after="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e) Sistemas de </w:t>
      </w:r>
      <w:proofErr w:type="spellStart"/>
      <w:r>
        <w:rPr>
          <w:rStyle w:val="dog-cursiva"/>
          <w:rFonts w:ascii="inherit" w:hAnsi="inherit"/>
          <w:i/>
          <w:iCs/>
          <w:color w:val="000000"/>
          <w:sz w:val="23"/>
          <w:szCs w:val="23"/>
          <w:bdr w:val="none" w:sz="0" w:space="0" w:color="auto" w:frame="1"/>
        </w:rPr>
        <w:t>click</w:t>
      </w:r>
      <w:proofErr w:type="spellEnd"/>
      <w:r>
        <w:rPr>
          <w:rStyle w:val="dog-cursiva"/>
          <w:rFonts w:ascii="inherit" w:hAnsi="inherit"/>
          <w:i/>
          <w:iCs/>
          <w:color w:val="000000"/>
          <w:sz w:val="23"/>
          <w:szCs w:val="23"/>
          <w:bdr w:val="none" w:sz="0" w:space="0" w:color="auto" w:frame="1"/>
        </w:rPr>
        <w:t xml:space="preserve"> and </w:t>
      </w:r>
      <w:proofErr w:type="spellStart"/>
      <w:r>
        <w:rPr>
          <w:rStyle w:val="dog-cursiva"/>
          <w:rFonts w:ascii="inherit" w:hAnsi="inherit"/>
          <w:i/>
          <w:iCs/>
          <w:color w:val="000000"/>
          <w:sz w:val="23"/>
          <w:szCs w:val="23"/>
          <w:bdr w:val="none" w:sz="0" w:space="0" w:color="auto" w:frame="1"/>
        </w:rPr>
        <w:t>collect</w:t>
      </w:r>
      <w:proofErr w:type="spellEnd"/>
      <w:r>
        <w:rPr>
          <w:rFonts w:ascii="Source Sans Pro" w:hAnsi="Source Sans Pro"/>
          <w:color w:val="000000"/>
          <w:sz w:val="23"/>
          <w:szCs w:val="23"/>
        </w:rPr>
        <w:t> y </w:t>
      </w:r>
      <w:proofErr w:type="spellStart"/>
      <w:r>
        <w:rPr>
          <w:rStyle w:val="dog-cursiva"/>
          <w:rFonts w:ascii="inherit" w:hAnsi="inherit"/>
          <w:i/>
          <w:iCs/>
          <w:color w:val="000000"/>
          <w:sz w:val="23"/>
          <w:szCs w:val="23"/>
          <w:bdr w:val="none" w:sz="0" w:space="0" w:color="auto" w:frame="1"/>
        </w:rPr>
        <w:t>locker</w:t>
      </w:r>
      <w:proofErr w:type="spellEnd"/>
      <w:r>
        <w:rPr>
          <w:rFonts w:ascii="Source Sans Pro" w:hAnsi="Source Sans Pro"/>
          <w:color w:val="000000"/>
          <w:sz w:val="23"/>
          <w:szCs w:val="23"/>
        </w:rPr>
        <w:t> digitales.</w:t>
      </w:r>
    </w:p>
    <w:p w14:paraId="7A758865"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f) Probadores interactivos.</w:t>
      </w:r>
    </w:p>
    <w:p w14:paraId="09FE940A" w14:textId="77777777" w:rsidR="006D321D" w:rsidRDefault="006D321D" w:rsidP="006D321D">
      <w:pPr>
        <w:pStyle w:val="dog-base-sangria"/>
        <w:shd w:val="clear" w:color="auto" w:fill="F7F7F7"/>
        <w:spacing w:before="0" w:beforeAutospacing="0" w:after="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g) Software para la gestión logística del </w:t>
      </w:r>
      <w:r>
        <w:rPr>
          <w:rStyle w:val="dog-cursiva"/>
          <w:rFonts w:ascii="inherit" w:hAnsi="inherit"/>
          <w:i/>
          <w:iCs/>
          <w:color w:val="000000"/>
          <w:sz w:val="23"/>
          <w:szCs w:val="23"/>
          <w:bdr w:val="none" w:sz="0" w:space="0" w:color="auto" w:frame="1"/>
        </w:rPr>
        <w:t>e-</w:t>
      </w:r>
      <w:proofErr w:type="spellStart"/>
      <w:r>
        <w:rPr>
          <w:rStyle w:val="dog-cursiva"/>
          <w:rFonts w:ascii="inherit" w:hAnsi="inherit"/>
          <w:i/>
          <w:iCs/>
          <w:color w:val="000000"/>
          <w:sz w:val="23"/>
          <w:szCs w:val="23"/>
          <w:bdr w:val="none" w:sz="0" w:space="0" w:color="auto" w:frame="1"/>
        </w:rPr>
        <w:t>commerce</w:t>
      </w:r>
      <w:proofErr w:type="spellEnd"/>
      <w:r>
        <w:rPr>
          <w:rFonts w:ascii="Source Sans Pro" w:hAnsi="Source Sans Pro"/>
          <w:color w:val="000000"/>
          <w:sz w:val="23"/>
          <w:szCs w:val="23"/>
        </w:rPr>
        <w:t>.</w:t>
      </w:r>
    </w:p>
    <w:p w14:paraId="0681F52A"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h) Soluciones de ciberseguridad.</w:t>
      </w:r>
    </w:p>
    <w:p w14:paraId="42A70235" w14:textId="77777777" w:rsidR="006D321D" w:rsidRDefault="006D321D" w:rsidP="006D321D">
      <w:pPr>
        <w:pStyle w:val="dog-base-sangria"/>
        <w:shd w:val="clear" w:color="auto" w:fill="F7F7F7"/>
        <w:spacing w:before="0" w:beforeAutospacing="0" w:after="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i) Asistentes virtuales y sistemas digitales interactivos (</w:t>
      </w:r>
      <w:proofErr w:type="spellStart"/>
      <w:r>
        <w:rPr>
          <w:rStyle w:val="dog-cursiva"/>
          <w:rFonts w:ascii="inherit" w:hAnsi="inherit"/>
          <w:i/>
          <w:iCs/>
          <w:color w:val="000000"/>
          <w:sz w:val="23"/>
          <w:szCs w:val="23"/>
          <w:bdr w:val="none" w:sz="0" w:space="0" w:color="auto" w:frame="1"/>
        </w:rPr>
        <w:t>chatbots</w:t>
      </w:r>
      <w:proofErr w:type="spellEnd"/>
      <w:r>
        <w:rPr>
          <w:rFonts w:ascii="Source Sans Pro" w:hAnsi="Source Sans Pro"/>
          <w:color w:val="000000"/>
          <w:sz w:val="23"/>
          <w:szCs w:val="23"/>
        </w:rPr>
        <w:t>).</w:t>
      </w:r>
    </w:p>
    <w:p w14:paraId="1C0C7CB4" w14:textId="77777777" w:rsidR="006D321D" w:rsidRDefault="006D321D" w:rsidP="006D321D">
      <w:pPr>
        <w:pStyle w:val="dog-base-sangria"/>
        <w:shd w:val="clear" w:color="auto" w:fill="F7F7F7"/>
        <w:spacing w:before="0" w:beforeAutospacing="0" w:after="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j) Aplicaciones para dispositivos móviles (</w:t>
      </w:r>
      <w:r>
        <w:rPr>
          <w:rStyle w:val="dog-cursiva"/>
          <w:rFonts w:ascii="inherit" w:hAnsi="inherit"/>
          <w:i/>
          <w:iCs/>
          <w:color w:val="000000"/>
          <w:sz w:val="23"/>
          <w:szCs w:val="23"/>
          <w:bdr w:val="none" w:sz="0" w:space="0" w:color="auto" w:frame="1"/>
        </w:rPr>
        <w:t>m-</w:t>
      </w:r>
      <w:proofErr w:type="spellStart"/>
      <w:r>
        <w:rPr>
          <w:rStyle w:val="dog-cursiva"/>
          <w:rFonts w:ascii="inherit" w:hAnsi="inherit"/>
          <w:i/>
          <w:iCs/>
          <w:color w:val="000000"/>
          <w:sz w:val="23"/>
          <w:szCs w:val="23"/>
          <w:bdr w:val="none" w:sz="0" w:space="0" w:color="auto" w:frame="1"/>
        </w:rPr>
        <w:t>commerce</w:t>
      </w:r>
      <w:proofErr w:type="spellEnd"/>
      <w:r>
        <w:rPr>
          <w:rFonts w:ascii="Source Sans Pro" w:hAnsi="Source Sans Pro"/>
          <w:color w:val="000000"/>
          <w:sz w:val="23"/>
          <w:szCs w:val="23"/>
        </w:rPr>
        <w:t>).</w:t>
      </w:r>
    </w:p>
    <w:p w14:paraId="2618C9E1"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xml:space="preserve">k) Terminales de </w:t>
      </w:r>
      <w:proofErr w:type="spellStart"/>
      <w:r>
        <w:rPr>
          <w:rFonts w:ascii="Source Sans Pro" w:hAnsi="Source Sans Pro"/>
          <w:color w:val="000000"/>
          <w:sz w:val="23"/>
          <w:szCs w:val="23"/>
        </w:rPr>
        <w:t>autopago</w:t>
      </w:r>
      <w:proofErr w:type="spellEnd"/>
      <w:r>
        <w:rPr>
          <w:rFonts w:ascii="Source Sans Pro" w:hAnsi="Source Sans Pro"/>
          <w:color w:val="000000"/>
          <w:sz w:val="23"/>
          <w:szCs w:val="23"/>
        </w:rPr>
        <w:t>.</w:t>
      </w:r>
    </w:p>
    <w:p w14:paraId="200570F7" w14:textId="77777777" w:rsidR="006D321D" w:rsidRDefault="006D321D" w:rsidP="006D321D">
      <w:pPr>
        <w:pStyle w:val="dog-base-sangria"/>
        <w:shd w:val="clear" w:color="auto" w:fill="F7F7F7"/>
        <w:spacing w:before="0" w:beforeAutospacing="0" w:after="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1.1.2. Programa </w:t>
      </w:r>
      <w:r>
        <w:rPr>
          <w:rStyle w:val="dog-cursiva"/>
          <w:rFonts w:ascii="inherit" w:hAnsi="inherit"/>
          <w:i/>
          <w:iCs/>
          <w:color w:val="000000"/>
          <w:sz w:val="23"/>
          <w:szCs w:val="23"/>
          <w:bdr w:val="none" w:sz="0" w:space="0" w:color="auto" w:frame="1"/>
        </w:rPr>
        <w:t xml:space="preserve">visual </w:t>
      </w:r>
      <w:proofErr w:type="spellStart"/>
      <w:r>
        <w:rPr>
          <w:rStyle w:val="dog-cursiva"/>
          <w:rFonts w:ascii="inherit" w:hAnsi="inherit"/>
          <w:i/>
          <w:iCs/>
          <w:color w:val="000000"/>
          <w:sz w:val="23"/>
          <w:szCs w:val="23"/>
          <w:bdr w:val="none" w:sz="0" w:space="0" w:color="auto" w:frame="1"/>
        </w:rPr>
        <w:t>merchandising</w:t>
      </w:r>
      <w:proofErr w:type="spellEnd"/>
      <w:r>
        <w:rPr>
          <w:rFonts w:ascii="Source Sans Pro" w:hAnsi="Source Sans Pro"/>
          <w:color w:val="000000"/>
          <w:sz w:val="23"/>
          <w:szCs w:val="23"/>
        </w:rPr>
        <w:t> dirigido a la mejora de la experiencia de compra, a través de las siguientes actuaciones:</w:t>
      </w:r>
    </w:p>
    <w:p w14:paraId="0BCB7E5D"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a) Escaparates virtuales con o sin interacción con la clientela.</w:t>
      </w:r>
    </w:p>
    <w:p w14:paraId="18BB65F7"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b) Estanterías virtuales.</w:t>
      </w:r>
    </w:p>
    <w:p w14:paraId="684386B3"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c) Pantallas y mesas interactivas.</w:t>
      </w:r>
    </w:p>
    <w:p w14:paraId="0193764B"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xml:space="preserve">d) </w:t>
      </w:r>
      <w:proofErr w:type="spellStart"/>
      <w:r>
        <w:rPr>
          <w:rFonts w:ascii="Source Sans Pro" w:hAnsi="Source Sans Pro"/>
          <w:color w:val="000000"/>
          <w:sz w:val="23"/>
          <w:szCs w:val="23"/>
        </w:rPr>
        <w:t>Totems</w:t>
      </w:r>
      <w:proofErr w:type="spellEnd"/>
      <w:r>
        <w:rPr>
          <w:rFonts w:ascii="Source Sans Pro" w:hAnsi="Source Sans Pro"/>
          <w:color w:val="000000"/>
          <w:sz w:val="23"/>
          <w:szCs w:val="23"/>
        </w:rPr>
        <w:t xml:space="preserve"> publicitarios.</w:t>
      </w:r>
    </w:p>
    <w:p w14:paraId="112DD8FD"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e) Pizarras digitales.</w:t>
      </w:r>
    </w:p>
    <w:p w14:paraId="26EA2F2A"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f) Aplicaciones de realidad virtual y aumentada.</w:t>
      </w:r>
    </w:p>
    <w:p w14:paraId="012027A7"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lastRenderedPageBreak/>
        <w:t>En todo caso, las actuaciones comprendidas en las letras a), b), c), d) y e) deberán incluir el software para la programación y emisión de contenidos digitales. Se considerarán subvencionables los gastos relativos a la elaboración de estos contenidos.</w:t>
      </w:r>
    </w:p>
    <w:p w14:paraId="499DF524" w14:textId="77777777" w:rsidR="006D321D" w:rsidRDefault="006D321D" w:rsidP="006D321D">
      <w:pPr>
        <w:pStyle w:val="dog-base-sangria"/>
        <w:shd w:val="clear" w:color="auto" w:fill="F7F7F7"/>
        <w:spacing w:before="0" w:beforeAutospacing="0" w:after="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1.1.3. Programa </w:t>
      </w:r>
      <w:r>
        <w:rPr>
          <w:rStyle w:val="dog-cursiva"/>
          <w:rFonts w:ascii="inherit" w:hAnsi="inherit"/>
          <w:i/>
          <w:iCs/>
          <w:color w:val="000000"/>
          <w:sz w:val="23"/>
          <w:szCs w:val="23"/>
          <w:bdr w:val="none" w:sz="0" w:space="0" w:color="auto" w:frame="1"/>
        </w:rPr>
        <w:t>Green Store</w:t>
      </w:r>
      <w:r>
        <w:rPr>
          <w:rFonts w:ascii="Source Sans Pro" w:hAnsi="Source Sans Pro"/>
          <w:color w:val="000000"/>
          <w:sz w:val="23"/>
          <w:szCs w:val="23"/>
        </w:rPr>
        <w:t> dirigido a la mejora de la eficiencia energética y de los recursos, a través de las siguientes actuaciones:</w:t>
      </w:r>
    </w:p>
    <w:p w14:paraId="4BD24281"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a) Puertas automáticas con sensores de proximidad que redunden en una mejora de la eficiencia energética en el ámbito térmico del local.</w:t>
      </w:r>
    </w:p>
    <w:p w14:paraId="5C4E2315"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b) Sistemas de iluminación energéticamente eficientes y sensores de presencia para la regulación automática de luces que mejoren y optimicen el consumo de energía eléctrica.</w:t>
      </w:r>
    </w:p>
    <w:p w14:paraId="3CA4BCC3"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c) Sistemas de climatización del local energéticamente eficientes.</w:t>
      </w:r>
    </w:p>
    <w:p w14:paraId="16EA6068"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1.2. Línea de ayudas destinada a asociaciones de comerciantes.</w:t>
      </w:r>
    </w:p>
    <w:p w14:paraId="388127E9"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xml:space="preserve">a) </w:t>
      </w:r>
      <w:proofErr w:type="spellStart"/>
      <w:r>
        <w:rPr>
          <w:rFonts w:ascii="Source Sans Pro" w:hAnsi="Source Sans Pro"/>
          <w:color w:val="000000"/>
          <w:sz w:val="23"/>
          <w:szCs w:val="23"/>
        </w:rPr>
        <w:t>Mupis</w:t>
      </w:r>
      <w:proofErr w:type="spellEnd"/>
      <w:r>
        <w:rPr>
          <w:rFonts w:ascii="Source Sans Pro" w:hAnsi="Source Sans Pro"/>
          <w:color w:val="000000"/>
          <w:sz w:val="23"/>
          <w:szCs w:val="23"/>
        </w:rPr>
        <w:t xml:space="preserve"> digitales, interactivos o no, de señalización y promoción de las áreas comerciales.</w:t>
      </w:r>
    </w:p>
    <w:p w14:paraId="4DE4DCFA"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b) Herramientas digitales colaborativas entre los asociados.</w:t>
      </w:r>
    </w:p>
    <w:p w14:paraId="5FFE39A9" w14:textId="77777777" w:rsidR="006D321D" w:rsidRDefault="006D321D" w:rsidP="006D321D">
      <w:pPr>
        <w:pStyle w:val="dog-base-sangria"/>
        <w:shd w:val="clear" w:color="auto" w:fill="F7F7F7"/>
        <w:spacing w:before="0" w:beforeAutospacing="0" w:after="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c) Sistemas de </w:t>
      </w:r>
      <w:proofErr w:type="spellStart"/>
      <w:r>
        <w:rPr>
          <w:rStyle w:val="dog-cursiva"/>
          <w:rFonts w:ascii="inherit" w:hAnsi="inherit"/>
          <w:i/>
          <w:iCs/>
          <w:color w:val="000000"/>
          <w:sz w:val="23"/>
          <w:szCs w:val="23"/>
          <w:bdr w:val="none" w:sz="0" w:space="0" w:color="auto" w:frame="1"/>
        </w:rPr>
        <w:t>click</w:t>
      </w:r>
      <w:proofErr w:type="spellEnd"/>
      <w:r>
        <w:rPr>
          <w:rStyle w:val="dog-cursiva"/>
          <w:rFonts w:ascii="inherit" w:hAnsi="inherit"/>
          <w:i/>
          <w:iCs/>
          <w:color w:val="000000"/>
          <w:sz w:val="23"/>
          <w:szCs w:val="23"/>
          <w:bdr w:val="none" w:sz="0" w:space="0" w:color="auto" w:frame="1"/>
        </w:rPr>
        <w:t xml:space="preserve"> and </w:t>
      </w:r>
      <w:proofErr w:type="spellStart"/>
      <w:r>
        <w:rPr>
          <w:rStyle w:val="dog-cursiva"/>
          <w:rFonts w:ascii="inherit" w:hAnsi="inherit"/>
          <w:i/>
          <w:iCs/>
          <w:color w:val="000000"/>
          <w:sz w:val="23"/>
          <w:szCs w:val="23"/>
          <w:bdr w:val="none" w:sz="0" w:space="0" w:color="auto" w:frame="1"/>
        </w:rPr>
        <w:t>collect</w:t>
      </w:r>
      <w:proofErr w:type="spellEnd"/>
      <w:r>
        <w:rPr>
          <w:rFonts w:ascii="Source Sans Pro" w:hAnsi="Source Sans Pro"/>
          <w:color w:val="000000"/>
          <w:sz w:val="23"/>
          <w:szCs w:val="23"/>
        </w:rPr>
        <w:t> y </w:t>
      </w:r>
      <w:proofErr w:type="spellStart"/>
      <w:r>
        <w:rPr>
          <w:rStyle w:val="dog-cursiva"/>
          <w:rFonts w:ascii="inherit" w:hAnsi="inherit"/>
          <w:i/>
          <w:iCs/>
          <w:color w:val="000000"/>
          <w:sz w:val="23"/>
          <w:szCs w:val="23"/>
          <w:bdr w:val="none" w:sz="0" w:space="0" w:color="auto" w:frame="1"/>
        </w:rPr>
        <w:t>locker</w:t>
      </w:r>
      <w:r>
        <w:rPr>
          <w:rFonts w:ascii="Source Sans Pro" w:hAnsi="Source Sans Pro"/>
          <w:color w:val="000000"/>
          <w:sz w:val="23"/>
          <w:szCs w:val="23"/>
        </w:rPr>
        <w:t>s</w:t>
      </w:r>
      <w:proofErr w:type="spellEnd"/>
      <w:r>
        <w:rPr>
          <w:rFonts w:ascii="Source Sans Pro" w:hAnsi="Source Sans Pro"/>
          <w:color w:val="000000"/>
          <w:sz w:val="23"/>
          <w:szCs w:val="23"/>
        </w:rPr>
        <w:t xml:space="preserve"> digitales.</w:t>
      </w:r>
    </w:p>
    <w:p w14:paraId="36F6F63E"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d) Redes wifi en las áreas comerciales.</w:t>
      </w:r>
    </w:p>
    <w:p w14:paraId="3B5166F0"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e) Reducción de insumos por parte de los comercios y de las personas consumidoras en los establecimientos mediante la implantación de alternativas respetuosas con el medio ambiente.</w:t>
      </w:r>
    </w:p>
    <w:p w14:paraId="3CE6EACA"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f) Elaboración y puesta en marcha de procesos ecoeficientes para la correcta separación de los residuos y su posterior reciclado y valoración que incluyan la participación de todos los asociados. Se considerarán subvencionables los gastos relativos a la adquisición de elementos para el correcto reciclaje de los residuos.</w:t>
      </w:r>
    </w:p>
    <w:p w14:paraId="01CA2CEA"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g) Proyectos de aplicación de soluciones tecnológicas conjuntas para mejorar la eficiencia en el consumo energético que incluyan la participación de todos los asociados.</w:t>
      </w:r>
    </w:p>
    <w:p w14:paraId="4B399D15" w14:textId="235159A8" w:rsidR="006D321D" w:rsidRDefault="006D321D">
      <w:r>
        <w:t>ACTUACIONES NO SUBVENCIONABLES</w:t>
      </w:r>
    </w:p>
    <w:p w14:paraId="7B0D4B27"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4. No se considerarán gastos subvencionables:</w:t>
      </w:r>
    </w:p>
    <w:p w14:paraId="48091652"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lastRenderedPageBreak/>
        <w:t xml:space="preserve">– Los ordenadores personales y servidores, televisores, impresoras, terminales de punto de venta, </w:t>
      </w:r>
      <w:proofErr w:type="spellStart"/>
      <w:r>
        <w:rPr>
          <w:rFonts w:ascii="Source Sans Pro" w:hAnsi="Source Sans Pro"/>
          <w:color w:val="000000"/>
          <w:sz w:val="23"/>
          <w:szCs w:val="23"/>
        </w:rPr>
        <w:t>tablets</w:t>
      </w:r>
      <w:proofErr w:type="spellEnd"/>
      <w:r>
        <w:rPr>
          <w:rFonts w:ascii="Source Sans Pro" w:hAnsi="Source Sans Pro"/>
          <w:color w:val="000000"/>
          <w:sz w:val="23"/>
          <w:szCs w:val="23"/>
        </w:rPr>
        <w:t xml:space="preserve">, </w:t>
      </w:r>
      <w:proofErr w:type="spellStart"/>
      <w:r>
        <w:rPr>
          <w:rFonts w:ascii="Source Sans Pro" w:hAnsi="Source Sans Pro"/>
          <w:color w:val="000000"/>
          <w:sz w:val="23"/>
          <w:szCs w:val="23"/>
        </w:rPr>
        <w:t>displays</w:t>
      </w:r>
      <w:proofErr w:type="spellEnd"/>
      <w:r>
        <w:rPr>
          <w:rFonts w:ascii="Source Sans Pro" w:hAnsi="Source Sans Pro"/>
          <w:color w:val="000000"/>
          <w:sz w:val="23"/>
          <w:szCs w:val="23"/>
        </w:rPr>
        <w:t>, consolas o similares, excepto el mobiliario tecnológico previsto en el apartado 1 de este artículo.</w:t>
      </w:r>
    </w:p>
    <w:p w14:paraId="1FAA2B12"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Los impuestos indirectos ni los tributos de cualquier naturaleza, licencias, permisos o gastos similares. El IVA no será subvencionable en ningún caso.</w:t>
      </w:r>
    </w:p>
    <w:p w14:paraId="5E431EDD"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Los gastos de arrendamiento de establecimientos o gastos corrientes de la actividad de la persona beneficiaria ni los gastos de personal.</w:t>
      </w:r>
    </w:p>
    <w:p w14:paraId="5003EF82"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El seguimiento, mantenimiento o cualquier otro gasto relacionado con el funcionamiento y mejora de la solución tecnológica tras su implementación.</w:t>
      </w:r>
    </w:p>
    <w:p w14:paraId="4208254B"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xml:space="preserve">– Los trabajos realizados por la propia persona solicitante de la subvención ni aquellas actuaciones cuando el/la vendedor/a de los activos o el/la prestador/a de la actividad sea de la propia empresa o asociación solicitante o si se da un supuesto análogo del que se pueda derivar </w:t>
      </w:r>
      <w:proofErr w:type="spellStart"/>
      <w:r>
        <w:rPr>
          <w:rFonts w:ascii="Source Sans Pro" w:hAnsi="Source Sans Pro"/>
          <w:color w:val="000000"/>
          <w:sz w:val="23"/>
          <w:szCs w:val="23"/>
        </w:rPr>
        <w:t>autofacturación</w:t>
      </w:r>
      <w:proofErr w:type="spellEnd"/>
      <w:r>
        <w:rPr>
          <w:rFonts w:ascii="Source Sans Pro" w:hAnsi="Source Sans Pro"/>
          <w:color w:val="000000"/>
          <w:sz w:val="23"/>
          <w:szCs w:val="23"/>
        </w:rPr>
        <w:t>.</w:t>
      </w:r>
    </w:p>
    <w:p w14:paraId="4D8B8AA2"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Los elementos de transporte.</w:t>
      </w:r>
    </w:p>
    <w:p w14:paraId="7D524143"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xml:space="preserve">– Los gastos financieros, reestructuraciones de pasivo o refinanciación, circulante y otros impuestos o tasas. Asimismo, no serán subvencionables los gastos bancarios de cualquier tipo de operación, así como aquellos que generen </w:t>
      </w:r>
      <w:proofErr w:type="spellStart"/>
      <w:r>
        <w:rPr>
          <w:rFonts w:ascii="Source Sans Pro" w:hAnsi="Source Sans Pro"/>
          <w:color w:val="000000"/>
          <w:sz w:val="23"/>
          <w:szCs w:val="23"/>
        </w:rPr>
        <w:t>autofacturación</w:t>
      </w:r>
      <w:proofErr w:type="spellEnd"/>
      <w:r>
        <w:rPr>
          <w:rFonts w:ascii="Source Sans Pro" w:hAnsi="Source Sans Pro"/>
          <w:color w:val="000000"/>
          <w:sz w:val="23"/>
          <w:szCs w:val="23"/>
        </w:rPr>
        <w:t>.</w:t>
      </w:r>
    </w:p>
    <w:p w14:paraId="579EB46E"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Los inmuebles o artículos de exposición y de prueba susceptibles de posterior venta al público y la instalación de expositores de carácter temporal.</w:t>
      </w:r>
    </w:p>
    <w:p w14:paraId="7E7CBAFF" w14:textId="77777777" w:rsidR="006D321D" w:rsidRDefault="006D321D" w:rsidP="006D321D">
      <w:pPr>
        <w:pStyle w:val="dog-base-sangria"/>
        <w:shd w:val="clear" w:color="auto" w:fill="F7F7F7"/>
        <w:spacing w:before="0" w:beforeAutospacing="0" w:after="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En los proyectos de reducción de insumos, los elementos de </w:t>
      </w:r>
      <w:proofErr w:type="spellStart"/>
      <w:r>
        <w:rPr>
          <w:rStyle w:val="dog-cursiva"/>
          <w:rFonts w:ascii="inherit" w:hAnsi="inherit"/>
          <w:i/>
          <w:iCs/>
          <w:color w:val="000000"/>
          <w:sz w:val="23"/>
          <w:szCs w:val="23"/>
          <w:bdr w:val="none" w:sz="0" w:space="0" w:color="auto" w:frame="1"/>
        </w:rPr>
        <w:t>packaging</w:t>
      </w:r>
      <w:proofErr w:type="spellEnd"/>
      <w:r>
        <w:rPr>
          <w:rFonts w:ascii="Source Sans Pro" w:hAnsi="Source Sans Pro"/>
          <w:color w:val="000000"/>
          <w:sz w:val="23"/>
          <w:szCs w:val="23"/>
        </w:rPr>
        <w:t> que no sean reutilizables (en el caso de bolsas) y elaborados con materiales que no sean 100 % reciclados y biodegradables. La inversión máxima subvencionable para los elementos de </w:t>
      </w:r>
      <w:proofErr w:type="spellStart"/>
      <w:r>
        <w:rPr>
          <w:rStyle w:val="dog-cursiva"/>
          <w:rFonts w:ascii="inherit" w:hAnsi="inherit"/>
          <w:i/>
          <w:iCs/>
          <w:color w:val="000000"/>
          <w:sz w:val="23"/>
          <w:szCs w:val="23"/>
          <w:bdr w:val="none" w:sz="0" w:space="0" w:color="auto" w:frame="1"/>
        </w:rPr>
        <w:t>packaging</w:t>
      </w:r>
      <w:proofErr w:type="spellEnd"/>
      <w:r>
        <w:rPr>
          <w:rFonts w:ascii="Source Sans Pro" w:hAnsi="Source Sans Pro"/>
          <w:color w:val="000000"/>
          <w:sz w:val="23"/>
          <w:szCs w:val="23"/>
        </w:rPr>
        <w:t> no podrá superar el 5 % de la inversión máxima subvencionable establecida para cada persona beneficiaria en el apartado 2.2 de este artículo.</w:t>
      </w:r>
    </w:p>
    <w:p w14:paraId="121EBD14"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Los proyectos desarrollados por las federaciones y asociaciones de comerciantes que sean coincidentes en el mismo territorio y tengan la misma identidad en cuanto a actuación, finalidad y objetivos. En caso de coincidencia, se aplicará el orden de prelación establecido en el artículo 4 de la orden de convocatoria.</w:t>
      </w:r>
    </w:p>
    <w:p w14:paraId="4048663B"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xml:space="preserve">– Los provectos que no respeten plenamente las normas y prioridades de la Unión Europea en materia climática y ambiental y el principio de «no causar un perjuicio significativo» en el sentido del artículo 17 del Reglamento (UE) </w:t>
      </w:r>
      <w:proofErr w:type="spellStart"/>
      <w:r>
        <w:rPr>
          <w:rFonts w:ascii="Source Sans Pro" w:hAnsi="Source Sans Pro"/>
          <w:color w:val="000000"/>
          <w:sz w:val="23"/>
          <w:szCs w:val="23"/>
        </w:rPr>
        <w:t>nº</w:t>
      </w:r>
      <w:proofErr w:type="spellEnd"/>
      <w:r>
        <w:rPr>
          <w:rFonts w:ascii="Source Sans Pro" w:hAnsi="Source Sans Pro"/>
          <w:color w:val="000000"/>
          <w:sz w:val="23"/>
          <w:szCs w:val="23"/>
        </w:rPr>
        <w:t xml:space="preserve"> 2020/852 del Parlamento Europeo y del Consejo, de 18 de junio de 2020, relativo al establecimiento de </w:t>
      </w:r>
      <w:r>
        <w:rPr>
          <w:rFonts w:ascii="Source Sans Pro" w:hAnsi="Source Sans Pro"/>
          <w:color w:val="000000"/>
          <w:sz w:val="23"/>
          <w:szCs w:val="23"/>
        </w:rPr>
        <w:lastRenderedPageBreak/>
        <w:t xml:space="preserve">un marco para facilitar las inversiones sostenibles y por el que se modifica el Reglamento (UE) </w:t>
      </w:r>
      <w:proofErr w:type="spellStart"/>
      <w:r>
        <w:rPr>
          <w:rFonts w:ascii="Source Sans Pro" w:hAnsi="Source Sans Pro"/>
          <w:color w:val="000000"/>
          <w:sz w:val="23"/>
          <w:szCs w:val="23"/>
        </w:rPr>
        <w:t>nº</w:t>
      </w:r>
      <w:proofErr w:type="spellEnd"/>
      <w:r>
        <w:rPr>
          <w:rFonts w:ascii="Source Sans Pro" w:hAnsi="Source Sans Pro"/>
          <w:color w:val="000000"/>
          <w:sz w:val="23"/>
          <w:szCs w:val="23"/>
        </w:rPr>
        <w:t xml:space="preserve"> 2019/2088. En cualquiera caso, no serán financiables las actividades incluidas en lista de exclusión establecida en la Decisión de ejecución del Consejo para esta inversión:</w:t>
      </w:r>
    </w:p>
    <w:p w14:paraId="3486C797"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Las actividades relacionadas con los combustibles fósiles, incluida la utilización ulterior de los mismos (excepto los proyectos en el marco de esta medida relacionados con la generación de electricidad y/o calor utilizando gas natural, así como con la infraestructura de transporte y distribución conexa, que cumplan las condiciones establecidas en el anexo VIII de la Guía técnica sobre la aplicación del principio de «no causar un perjuicio significativo» (DO C 58, de 18.2.2021, p.1).</w:t>
      </w:r>
    </w:p>
    <w:p w14:paraId="31A3C3BF"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xml:space="preserve">• Las actividades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pertinentes, deberá facilitarse una explicación motivada al respecto. Parámetros de referencia establecidos para la asignación gratuita de derechos de emisión en relación con las actividades que se inscriben en el ámbito de aplicación del régimen de comercio de derechos de emisión, según lo establecido en el Reglamento de ejecución (UE) </w:t>
      </w:r>
      <w:proofErr w:type="spellStart"/>
      <w:r>
        <w:rPr>
          <w:rFonts w:ascii="Source Sans Pro" w:hAnsi="Source Sans Pro"/>
          <w:color w:val="000000"/>
          <w:sz w:val="23"/>
          <w:szCs w:val="23"/>
        </w:rPr>
        <w:t>nº</w:t>
      </w:r>
      <w:proofErr w:type="spellEnd"/>
      <w:r>
        <w:rPr>
          <w:rFonts w:ascii="Source Sans Pro" w:hAnsi="Source Sans Pro"/>
          <w:color w:val="000000"/>
          <w:sz w:val="23"/>
          <w:szCs w:val="23"/>
        </w:rPr>
        <w:t xml:space="preserve"> 2021/447 de la Comisión).</w:t>
      </w:r>
    </w:p>
    <w:p w14:paraId="729952B2"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t>• Las actividades relacionadas con escombreras de residuos, incineradoras (esta exclusión no se aplica a las acciones emprendidas en el marco de esta medida en plantas dedicadas exclusivamente al tratamiento de residuos peligrosos no reciclables, ni a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una prolongación de su vida útil; estos pormenores deberán justificarse documentalmente por cada planta), plantas de tratamiento mecánico-biológico (esta exclusión no se aplica a las acciones emprendidas en el marco de esta medida en las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una prolongación de su vida útil; estos pormenores deberán justificarse documentalmente por cada planta).</w:t>
      </w:r>
    </w:p>
    <w:p w14:paraId="7F066E79" w14:textId="77777777" w:rsidR="006D321D" w:rsidRDefault="006D321D" w:rsidP="006D321D">
      <w:pPr>
        <w:pStyle w:val="dog-base-sangria"/>
        <w:shd w:val="clear" w:color="auto" w:fill="F7F7F7"/>
        <w:spacing w:before="0" w:beforeAutospacing="0" w:after="240" w:afterAutospacing="0" w:line="360" w:lineRule="atLeast"/>
        <w:ind w:firstLine="360"/>
        <w:jc w:val="both"/>
        <w:textAlignment w:val="baseline"/>
        <w:rPr>
          <w:rFonts w:ascii="Source Sans Pro" w:hAnsi="Source Sans Pro"/>
          <w:color w:val="000000"/>
          <w:sz w:val="23"/>
          <w:szCs w:val="23"/>
        </w:rPr>
      </w:pPr>
      <w:r>
        <w:rPr>
          <w:rFonts w:ascii="Source Sans Pro" w:hAnsi="Source Sans Pro"/>
          <w:color w:val="000000"/>
          <w:sz w:val="23"/>
          <w:szCs w:val="23"/>
        </w:rPr>
        <w:lastRenderedPageBreak/>
        <w:t>• Las actividades en las que la eliminación a largo plazo de residuos pueda causar daños al medio ambiente.</w:t>
      </w:r>
    </w:p>
    <w:p w14:paraId="4B2BE611" w14:textId="77777777" w:rsidR="006D321D" w:rsidRDefault="006D321D"/>
    <w:sectPr w:rsidR="006D32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1D"/>
    <w:rsid w:val="006D321D"/>
    <w:rsid w:val="00B80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4347"/>
  <w15:chartTrackingRefBased/>
  <w15:docId w15:val="{03F75C2E-7DF2-4FCD-AE2F-248926F5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g-base-sangria">
    <w:name w:val="dog-base-sangria"/>
    <w:basedOn w:val="Normal"/>
    <w:rsid w:val="006D321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dog-cursiva">
    <w:name w:val="dog-cursiva"/>
    <w:basedOn w:val="Fuentedeprrafopredeter"/>
    <w:rsid w:val="006D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85191">
      <w:bodyDiv w:val="1"/>
      <w:marLeft w:val="0"/>
      <w:marRight w:val="0"/>
      <w:marTop w:val="0"/>
      <w:marBottom w:val="0"/>
      <w:divBdr>
        <w:top w:val="none" w:sz="0" w:space="0" w:color="auto"/>
        <w:left w:val="none" w:sz="0" w:space="0" w:color="auto"/>
        <w:bottom w:val="none" w:sz="0" w:space="0" w:color="auto"/>
        <w:right w:val="none" w:sz="0" w:space="0" w:color="auto"/>
      </w:divBdr>
    </w:div>
    <w:div w:id="194676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1322</Words>
  <Characters>7272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dc:creator>
  <cp:keywords/>
  <dc:description/>
  <cp:lastModifiedBy>Esther S.</cp:lastModifiedBy>
  <cp:revision>1</cp:revision>
  <dcterms:created xsi:type="dcterms:W3CDTF">2023-07-18T09:06:00Z</dcterms:created>
  <dcterms:modified xsi:type="dcterms:W3CDTF">2023-07-18T09:08:00Z</dcterms:modified>
</cp:coreProperties>
</file>